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B3A86" w14:textId="77777777" w:rsidR="00E25000" w:rsidRDefault="00E25000" w:rsidP="00E25000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Modeling Neuroimmune Interactions in Human Subjects and Animal Models to Predict Subtype Specific Multidrug Treatments for</w:t>
      </w:r>
      <w:r w:rsidRPr="00697FA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Gulf War Illness</w:t>
      </w:r>
    </w:p>
    <w:p w14:paraId="46DF1C17" w14:textId="34951141" w:rsidR="00964D1C" w:rsidRDefault="00964D1C" w:rsidP="00964D1C">
      <w:pPr>
        <w:spacing w:line="48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Detailed Data Collection Methods</w:t>
      </w:r>
    </w:p>
    <w:p w14:paraId="03D100D2" w14:textId="77777777" w:rsidR="00964D1C" w:rsidRPr="00964D1C" w:rsidRDefault="00964D1C" w:rsidP="00964D1C">
      <w:pPr>
        <w:spacing w:line="48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64D1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Gulf War Illness Exposure Paradigm and Treatment</w:t>
      </w:r>
      <w:r w:rsidRPr="00964D1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041929D2" w14:textId="6CB51B99" w:rsidR="00964D1C" w:rsidRPr="007D76CE" w:rsidRDefault="0007115F" w:rsidP="00964D1C">
      <w:pPr>
        <w:spacing w:after="0" w:line="48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07115F">
        <w:rPr>
          <w:rFonts w:ascii="Times New Roman" w:hAnsi="Times New Roman"/>
          <w:color w:val="000000"/>
          <w:sz w:val="24"/>
          <w:szCs w:val="24"/>
        </w:rPr>
        <w:t>All animal experiments were performed using protocols approved by the Centers for Disease Control-National Institute for Occupational Safety and Health Institutional Animal Care and Use Committee (CDC-NIOSH IACUC)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0711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Adult male C57BL/6J mice (n=5-7 mice per group), 8-12 weeks of age were purchased from Jackson Labs (Bar Harbor, ME). Mice were exposed to CORT (200 mg/L in 0.6% EtOH; </w:t>
      </w:r>
      <w:proofErr w:type="spellStart"/>
      <w:r w:rsidR="00964D1C" w:rsidRPr="007D76CE">
        <w:rPr>
          <w:rFonts w:ascii="Times New Roman" w:hAnsi="Times New Roman"/>
          <w:color w:val="000000"/>
          <w:sz w:val="24"/>
          <w:szCs w:val="24"/>
        </w:rPr>
        <w:t>Steraloids</w:t>
      </w:r>
      <w:proofErr w:type="spellEnd"/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, Newport, RI, USA) in the drinking water for </w:t>
      </w:r>
      <w:r w:rsidR="005730EB">
        <w:rPr>
          <w:rFonts w:ascii="Times New Roman" w:hAnsi="Times New Roman"/>
          <w:color w:val="000000"/>
          <w:sz w:val="24"/>
          <w:szCs w:val="24"/>
        </w:rPr>
        <w:t>4</w:t>
      </w:r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 days.  On day </w:t>
      </w:r>
      <w:r w:rsidR="005730EB">
        <w:rPr>
          <w:rFonts w:ascii="Times New Roman" w:hAnsi="Times New Roman"/>
          <w:color w:val="000000"/>
          <w:sz w:val="24"/>
          <w:szCs w:val="24"/>
        </w:rPr>
        <w:t>5</w:t>
      </w:r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, mice received a single intraperitoneal injection of DFP (4 mg/kg, </w:t>
      </w:r>
      <w:proofErr w:type="spellStart"/>
      <w:r w:rsidR="00964D1C" w:rsidRPr="007D76CE">
        <w:rPr>
          <w:rFonts w:ascii="Times New Roman" w:hAnsi="Times New Roman"/>
          <w:color w:val="000000"/>
          <w:sz w:val="24"/>
          <w:szCs w:val="24"/>
        </w:rPr>
        <w:t>MilliporeSigma</w:t>
      </w:r>
      <w:proofErr w:type="spellEnd"/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, St. Louis, MO, USA) or physiological saline. After the initial exposure, mice received intermittent </w:t>
      </w:r>
      <w:r w:rsidR="00EB04A0">
        <w:rPr>
          <w:rFonts w:ascii="Times New Roman" w:hAnsi="Times New Roman"/>
          <w:color w:val="000000"/>
          <w:sz w:val="24"/>
          <w:szCs w:val="24"/>
        </w:rPr>
        <w:t>4</w:t>
      </w:r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-day bouts of CORT water </w:t>
      </w:r>
      <w:r w:rsidR="00EB04A0">
        <w:rPr>
          <w:rFonts w:ascii="Times New Roman" w:hAnsi="Times New Roman"/>
          <w:color w:val="000000"/>
          <w:sz w:val="24"/>
          <w:szCs w:val="24"/>
        </w:rPr>
        <w:t>every other week (4 days on/10 days off)</w:t>
      </w:r>
      <w:r w:rsidR="00A53C9A">
        <w:rPr>
          <w:rFonts w:ascii="Times New Roman" w:hAnsi="Times New Roman"/>
          <w:color w:val="000000"/>
          <w:sz w:val="24"/>
          <w:szCs w:val="24"/>
        </w:rPr>
        <w:t xml:space="preserve"> for a total of 11 weeks</w:t>
      </w:r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.  </w:t>
      </w:r>
      <w:r w:rsidR="00A53C9A">
        <w:rPr>
          <w:rFonts w:ascii="Times New Roman" w:hAnsi="Times New Roman"/>
          <w:color w:val="000000"/>
          <w:sz w:val="24"/>
          <w:szCs w:val="24"/>
        </w:rPr>
        <w:t>Following the final 4 day CORT exposure</w:t>
      </w:r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, mice received a single subcutaneous injection of LPS (0.5 mg/kg, </w:t>
      </w:r>
      <w:proofErr w:type="spellStart"/>
      <w:r w:rsidR="00964D1C" w:rsidRPr="007D76CE">
        <w:rPr>
          <w:rFonts w:ascii="Times New Roman" w:hAnsi="Times New Roman"/>
          <w:color w:val="000000"/>
          <w:sz w:val="24"/>
          <w:szCs w:val="24"/>
        </w:rPr>
        <w:t>MilliporeSigma</w:t>
      </w:r>
      <w:proofErr w:type="spellEnd"/>
      <w:r w:rsidR="00964D1C" w:rsidRPr="007D76CE">
        <w:rPr>
          <w:rFonts w:ascii="Times New Roman" w:hAnsi="Times New Roman"/>
          <w:color w:val="000000"/>
          <w:sz w:val="24"/>
          <w:szCs w:val="24"/>
        </w:rPr>
        <w:t>) or physiological saline.</w:t>
      </w:r>
      <w:r w:rsidR="00525311">
        <w:rPr>
          <w:rFonts w:ascii="Times New Roman" w:hAnsi="Times New Roman"/>
          <w:color w:val="000000"/>
          <w:sz w:val="24"/>
          <w:szCs w:val="24"/>
        </w:rPr>
        <w:t xml:space="preserve">  Mice were sacrificed by decapitation at 6 hours following this exposure.</w:t>
      </w:r>
      <w:r w:rsidR="00964D1C" w:rsidRPr="007D76CE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14:paraId="6AFCDC9B" w14:textId="77777777" w:rsidR="00964D1C" w:rsidRPr="00964D1C" w:rsidRDefault="00964D1C" w:rsidP="00964D1C">
      <w:pPr>
        <w:spacing w:line="48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964D1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Tissue Preparation</w:t>
      </w:r>
    </w:p>
    <w:p w14:paraId="01A81129" w14:textId="77050688" w:rsidR="00964D1C" w:rsidRPr="007D76CE" w:rsidRDefault="00964D1C" w:rsidP="00964D1C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7D76CE">
        <w:rPr>
          <w:rFonts w:ascii="Times New Roman" w:hAnsi="Times New Roman"/>
          <w:color w:val="000000"/>
          <w:sz w:val="24"/>
          <w:szCs w:val="24"/>
        </w:rPr>
        <w:t>Immediately after decapitation, whole brains were removed from the skull with the aid of blunt curved forceps.  Cortices were dissected free hand on a thermoelectric cold plate (Model TCP-2, Aldrich Chemical Co., Milwaukee, WI, USA) using a pair of fine curved forceps (</w:t>
      </w:r>
      <w:proofErr w:type="spellStart"/>
      <w:r w:rsidRPr="007D76CE">
        <w:rPr>
          <w:rFonts w:ascii="Times New Roman" w:hAnsi="Times New Roman"/>
          <w:color w:val="000000"/>
          <w:sz w:val="24"/>
          <w:szCs w:val="24"/>
        </w:rPr>
        <w:t>Roboz</w:t>
      </w:r>
      <w:proofErr w:type="spellEnd"/>
      <w:r w:rsidRPr="007D76CE">
        <w:rPr>
          <w:rFonts w:ascii="Times New Roman" w:hAnsi="Times New Roman"/>
          <w:color w:val="000000"/>
          <w:sz w:val="24"/>
          <w:szCs w:val="24"/>
        </w:rPr>
        <w:t>, Washington, DC, USA).  Brain regions were frozen at -85 °C and used for subsequent isolation of total RNA.</w:t>
      </w:r>
    </w:p>
    <w:p w14:paraId="27A70645" w14:textId="77777777" w:rsidR="00964D1C" w:rsidRPr="00964D1C" w:rsidRDefault="00964D1C" w:rsidP="00964D1C">
      <w:pPr>
        <w:spacing w:line="480" w:lineRule="auto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proofErr w:type="spellStart"/>
      <w:r w:rsidRPr="00964D1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qRT</w:t>
      </w:r>
      <w:proofErr w:type="spellEnd"/>
      <w:r w:rsidRPr="00964D1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-PCR</w:t>
      </w:r>
    </w:p>
    <w:p w14:paraId="4DA85DA2" w14:textId="7B2332CB" w:rsidR="00964D1C" w:rsidRPr="007D76CE" w:rsidRDefault="00964D1C" w:rsidP="00964D1C">
      <w:pPr>
        <w:spacing w:line="480" w:lineRule="auto"/>
        <w:rPr>
          <w:rFonts w:ascii="Times New Roman" w:hAnsi="Times New Roman"/>
          <w:color w:val="000000"/>
          <w:sz w:val="24"/>
          <w:szCs w:val="24"/>
        </w:rPr>
      </w:pPr>
      <w:r w:rsidRPr="00964D1C">
        <w:rPr>
          <w:rFonts w:ascii="Times New Roman" w:hAnsi="Times New Roman"/>
          <w:color w:val="000000"/>
          <w:sz w:val="24"/>
          <w:szCs w:val="24"/>
        </w:rPr>
        <w:t xml:space="preserve">The total RNA from the cortex were isolated using </w:t>
      </w:r>
      <w:proofErr w:type="spellStart"/>
      <w:r w:rsidRPr="00964D1C">
        <w:rPr>
          <w:rFonts w:ascii="Times New Roman" w:hAnsi="Times New Roman"/>
          <w:color w:val="000000"/>
          <w:sz w:val="24"/>
          <w:szCs w:val="24"/>
        </w:rPr>
        <w:t>Trizol</w:t>
      </w:r>
      <w:proofErr w:type="spellEnd"/>
      <w:r w:rsidRPr="00964D1C">
        <w:rPr>
          <w:rFonts w:ascii="Times New Roman" w:hAnsi="Times New Roman"/>
          <w:color w:val="000000"/>
          <w:sz w:val="24"/>
          <w:szCs w:val="24"/>
        </w:rPr>
        <w:t xml:space="preserve">® reagent (Thermo Fisher Scientific, Waltham, MA, USA) and Phase-lock heavy gel (Eppendorf, AG Hamburg, Germany), and purified using RNeasy mini-spin columns (Qiagen, Valencia, CA, USA).  Total RNA (1 ug) was reverse transcribed to cDNA using Superscript III and oligo (dT)12-18 primers (Thermo Fisher Scientific, Waltham, MA, USA) in a 20 µL reaction.  </w:t>
      </w:r>
      <w:r w:rsidRPr="007D76CE">
        <w:rPr>
          <w:rFonts w:ascii="Times New Roman" w:hAnsi="Times New Roman"/>
          <w:color w:val="000000"/>
          <w:sz w:val="24"/>
          <w:szCs w:val="24"/>
        </w:rPr>
        <w:t xml:space="preserve">Real-time </w:t>
      </w:r>
      <w:r w:rsidRPr="007D76CE">
        <w:rPr>
          <w:rFonts w:ascii="Times New Roman" w:hAnsi="Times New Roman"/>
          <w:color w:val="000000"/>
          <w:sz w:val="24"/>
          <w:szCs w:val="24"/>
        </w:rPr>
        <w:lastRenderedPageBreak/>
        <w:t xml:space="preserve">PCR analysis of the housekeeping gene, </w:t>
      </w:r>
      <w:bookmarkStart w:id="0" w:name="_Hlk63956799"/>
      <w:r w:rsidRPr="007D76CE">
        <w:rPr>
          <w:rFonts w:ascii="Times New Roman" w:hAnsi="Times New Roman"/>
          <w:color w:val="000000"/>
          <w:sz w:val="24"/>
          <w:szCs w:val="24"/>
        </w:rPr>
        <w:t xml:space="preserve">glyceraldehyde-3-phosphate dehydrogenase </w:t>
      </w:r>
      <w:bookmarkEnd w:id="0"/>
      <w:r w:rsidRPr="007D76CE">
        <w:rPr>
          <w:rFonts w:ascii="Times New Roman" w:hAnsi="Times New Roman"/>
          <w:color w:val="000000"/>
          <w:sz w:val="24"/>
          <w:szCs w:val="24"/>
        </w:rPr>
        <w:t xml:space="preserve">(GAPDH), and of the proinflammatory mediators, TNFα, IL-6, CCL2, IL-1β, leukemia inhibitor factor (LIF), and </w:t>
      </w:r>
      <w:proofErr w:type="spellStart"/>
      <w:r w:rsidRPr="007D76CE">
        <w:rPr>
          <w:rFonts w:ascii="Times New Roman" w:hAnsi="Times New Roman"/>
          <w:color w:val="000000"/>
          <w:sz w:val="24"/>
          <w:szCs w:val="24"/>
        </w:rPr>
        <w:t>oncostatin</w:t>
      </w:r>
      <w:proofErr w:type="spellEnd"/>
      <w:r w:rsidRPr="007D76CE">
        <w:rPr>
          <w:rFonts w:ascii="Times New Roman" w:hAnsi="Times New Roman"/>
          <w:color w:val="000000"/>
          <w:sz w:val="24"/>
          <w:szCs w:val="24"/>
        </w:rPr>
        <w:t xml:space="preserve"> M (OSM) was performed in an ABI7500 Real-Time PCR System (Thermo Fisher Scientific, Waltham, MA, USA) in combination with TaqMan® chemistry as previously described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7D76C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64D1C">
        <w:rPr>
          <w:rFonts w:ascii="Times New Roman" w:hAnsi="Times New Roman"/>
          <w:color w:val="000000"/>
          <w:sz w:val="24"/>
          <w:szCs w:val="24"/>
        </w:rPr>
        <w:t xml:space="preserve">All PCR amplifications (40 cycles) were performed in a total volume of 50 </w:t>
      </w:r>
      <w:proofErr w:type="spellStart"/>
      <w:r w:rsidRPr="00964D1C">
        <w:rPr>
          <w:rFonts w:ascii="Times New Roman" w:hAnsi="Times New Roman"/>
          <w:color w:val="000000"/>
          <w:sz w:val="24"/>
          <w:szCs w:val="24"/>
        </w:rPr>
        <w:t>μL</w:t>
      </w:r>
      <w:proofErr w:type="spellEnd"/>
      <w:r w:rsidRPr="00964D1C">
        <w:rPr>
          <w:rFonts w:ascii="Times New Roman" w:hAnsi="Times New Roman"/>
          <w:color w:val="000000"/>
          <w:sz w:val="24"/>
          <w:szCs w:val="24"/>
        </w:rPr>
        <w:t xml:space="preserve">, containing 1 </w:t>
      </w:r>
      <w:proofErr w:type="spellStart"/>
      <w:r w:rsidRPr="00964D1C">
        <w:rPr>
          <w:rFonts w:ascii="Times New Roman" w:hAnsi="Times New Roman"/>
          <w:color w:val="000000"/>
          <w:sz w:val="24"/>
          <w:szCs w:val="24"/>
        </w:rPr>
        <w:t>μL</w:t>
      </w:r>
      <w:proofErr w:type="spellEnd"/>
      <w:r w:rsidRPr="00964D1C">
        <w:rPr>
          <w:rFonts w:ascii="Times New Roman" w:hAnsi="Times New Roman"/>
          <w:color w:val="000000"/>
          <w:sz w:val="24"/>
          <w:szCs w:val="24"/>
        </w:rPr>
        <w:t xml:space="preserve"> cDNA, 2.5 </w:t>
      </w:r>
      <w:proofErr w:type="spellStart"/>
      <w:r w:rsidRPr="00964D1C">
        <w:rPr>
          <w:rFonts w:ascii="Times New Roman" w:hAnsi="Times New Roman"/>
          <w:color w:val="000000"/>
          <w:sz w:val="24"/>
          <w:szCs w:val="24"/>
        </w:rPr>
        <w:t>uL</w:t>
      </w:r>
      <w:proofErr w:type="spellEnd"/>
      <w:r w:rsidRPr="00964D1C">
        <w:rPr>
          <w:rFonts w:ascii="Times New Roman" w:hAnsi="Times New Roman"/>
          <w:color w:val="000000"/>
          <w:sz w:val="24"/>
          <w:szCs w:val="24"/>
        </w:rPr>
        <w:t xml:space="preserve"> of the specific Assay of Demand primer/probe mix (Thermo Fisher Scientific, Waltham, MA, USA), and 25 </w:t>
      </w:r>
      <w:proofErr w:type="spellStart"/>
      <w:r w:rsidRPr="00964D1C">
        <w:rPr>
          <w:rFonts w:ascii="Times New Roman" w:hAnsi="Times New Roman"/>
          <w:color w:val="000000"/>
          <w:sz w:val="24"/>
          <w:szCs w:val="24"/>
        </w:rPr>
        <w:t>uL</w:t>
      </w:r>
      <w:proofErr w:type="spellEnd"/>
      <w:r w:rsidRPr="00964D1C">
        <w:rPr>
          <w:rFonts w:ascii="Times New Roman" w:hAnsi="Times New Roman"/>
          <w:color w:val="000000"/>
          <w:sz w:val="24"/>
          <w:szCs w:val="24"/>
        </w:rPr>
        <w:t xml:space="preserve"> of </w:t>
      </w:r>
      <w:proofErr w:type="spellStart"/>
      <w:r w:rsidRPr="00964D1C">
        <w:rPr>
          <w:rFonts w:ascii="Times New Roman" w:hAnsi="Times New Roman"/>
          <w:color w:val="000000"/>
          <w:sz w:val="24"/>
          <w:szCs w:val="24"/>
        </w:rPr>
        <w:t>Taqman</w:t>
      </w:r>
      <w:proofErr w:type="spellEnd"/>
      <w:r w:rsidRPr="00964D1C">
        <w:rPr>
          <w:rFonts w:ascii="Times New Roman" w:hAnsi="Times New Roman"/>
          <w:color w:val="000000"/>
          <w:sz w:val="24"/>
          <w:szCs w:val="24"/>
        </w:rPr>
        <w:t xml:space="preserve">® Universal master mix (Thermo Fisher Scientific, Waltham, MA, USA).  Sequence detection software (version 1.7; Applied Biosystems/Thermo Fisher Scientific, Waltham, MA, USA) </w:t>
      </w:r>
      <w:r>
        <w:rPr>
          <w:rFonts w:ascii="Times New Roman" w:hAnsi="Times New Roman"/>
          <w:color w:val="000000"/>
          <w:sz w:val="24"/>
          <w:szCs w:val="24"/>
        </w:rPr>
        <w:t>was used to determine threshold cycle (CT) values.</w:t>
      </w:r>
      <w:r w:rsidRPr="00964D1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sectPr w:rsidR="00964D1C" w:rsidRPr="007D76CE" w:rsidSect="00964D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F4B452" w14:textId="77777777" w:rsidR="00D816EA" w:rsidRDefault="00D816EA" w:rsidP="0062414C">
      <w:pPr>
        <w:spacing w:after="0" w:line="240" w:lineRule="auto"/>
      </w:pPr>
      <w:r>
        <w:separator/>
      </w:r>
    </w:p>
  </w:endnote>
  <w:endnote w:type="continuationSeparator" w:id="0">
    <w:p w14:paraId="7C6A6098" w14:textId="77777777" w:rsidR="00D816EA" w:rsidRDefault="00D816EA" w:rsidP="00624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0AAED2" w14:textId="77777777" w:rsidR="00D816EA" w:rsidRDefault="00D816EA" w:rsidP="0062414C">
      <w:pPr>
        <w:spacing w:after="0" w:line="240" w:lineRule="auto"/>
      </w:pPr>
      <w:r>
        <w:separator/>
      </w:r>
    </w:p>
  </w:footnote>
  <w:footnote w:type="continuationSeparator" w:id="0">
    <w:p w14:paraId="2BDCFAEC" w14:textId="77777777" w:rsidR="00D816EA" w:rsidRDefault="00D816EA" w:rsidP="00624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D1C"/>
    <w:rsid w:val="0007115F"/>
    <w:rsid w:val="00301663"/>
    <w:rsid w:val="00511225"/>
    <w:rsid w:val="00525311"/>
    <w:rsid w:val="005730EB"/>
    <w:rsid w:val="0062414C"/>
    <w:rsid w:val="00631EB2"/>
    <w:rsid w:val="00802C10"/>
    <w:rsid w:val="00964D1C"/>
    <w:rsid w:val="00A53C9A"/>
    <w:rsid w:val="00D77CD1"/>
    <w:rsid w:val="00D816EA"/>
    <w:rsid w:val="00E25000"/>
    <w:rsid w:val="00EB0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144E25"/>
  <w15:chartTrackingRefBased/>
  <w15:docId w15:val="{6D323F27-6D52-4225-85AA-2F9C227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D1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Michalovicz, Lindsay (CDC/NIOSH/HELD/TMBB)</dc:creator>
  <cp:keywords/>
  <dc:description/>
  <cp:lastModifiedBy>Kelly, Kimberly A. (CDC/NIOSH/HELD/TMBB)</cp:lastModifiedBy>
  <cp:revision>11</cp:revision>
  <dcterms:created xsi:type="dcterms:W3CDTF">2021-07-14T15:58:00Z</dcterms:created>
  <dcterms:modified xsi:type="dcterms:W3CDTF">2021-07-21T14:23:00Z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b94a7b8-f06c-4dfe-bdcc-9b548fd58c31_Enabled">
    <vt:lpwstr>true</vt:lpwstr>
  </property>
  <property fmtid="{D5CDD505-2E9C-101B-9397-08002B2CF9AE}" pid="3" name="MSIP_Label_7b94a7b8-f06c-4dfe-bdcc-9b548fd58c31_SetDate">
    <vt:lpwstr>2021-02-23T19:09:36Z</vt:lpwstr>
  </property>
  <property fmtid="{D5CDD505-2E9C-101B-9397-08002B2CF9AE}" pid="4" name="MSIP_Label_7b94a7b8-f06c-4dfe-bdcc-9b548fd58c31_Method">
    <vt:lpwstr>Privileged</vt:lpwstr>
  </property>
  <property fmtid="{D5CDD505-2E9C-101B-9397-08002B2CF9AE}" pid="5" name="MSIP_Label_7b94a7b8-f06c-4dfe-bdcc-9b548fd58c31_Name">
    <vt:lpwstr>7b94a7b8-f06c-4dfe-bdcc-9b548fd58c31</vt:lpwstr>
  </property>
  <property fmtid="{D5CDD505-2E9C-101B-9397-08002B2CF9AE}" pid="6" name="MSIP_Label_7b94a7b8-f06c-4dfe-bdcc-9b548fd58c31_SiteId">
    <vt:lpwstr>9ce70869-60db-44fd-abe8-d2767077fc8f</vt:lpwstr>
  </property>
  <property fmtid="{D5CDD505-2E9C-101B-9397-08002B2CF9AE}" pid="7" name="MSIP_Label_7b94a7b8-f06c-4dfe-bdcc-9b548fd58c31_ActionId">
    <vt:lpwstr>0273ec85-e2ff-4bdd-b946-7be982f9cf7c</vt:lpwstr>
  </property>
  <property fmtid="{D5CDD505-2E9C-101B-9397-08002B2CF9AE}" pid="8" name="MSIP_Label_7b94a7b8-f06c-4dfe-bdcc-9b548fd58c31_ContentBits">
    <vt:lpwstr>0</vt:lpwstr>
  </property>
</Properties>
</file>